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97" w:rsidRPr="00B53A97" w:rsidRDefault="00B53A97">
      <w:pPr>
        <w:pStyle w:val="ConsPlusTitlePage"/>
        <w:rPr>
          <w:color w:val="000000" w:themeColor="text1"/>
        </w:rPr>
      </w:pPr>
      <w:bookmarkStart w:id="0" w:name="_GoBack"/>
      <w:bookmarkEnd w:id="0"/>
    </w:p>
    <w:p w:rsidR="00B53A97" w:rsidRPr="00B53A97" w:rsidRDefault="00B53A97">
      <w:pPr>
        <w:pStyle w:val="ConsPlusNormal"/>
        <w:jc w:val="both"/>
        <w:outlineLvl w:val="0"/>
        <w:rPr>
          <w:color w:val="000000" w:themeColor="text1"/>
        </w:rPr>
      </w:pPr>
    </w:p>
    <w:p w:rsidR="00B53A97" w:rsidRPr="00B53A97" w:rsidRDefault="00B53A97">
      <w:pPr>
        <w:pStyle w:val="ConsPlusTitle"/>
        <w:jc w:val="center"/>
        <w:rPr>
          <w:color w:val="000000" w:themeColor="text1"/>
        </w:rPr>
      </w:pPr>
      <w:r w:rsidRPr="00B53A97">
        <w:rPr>
          <w:color w:val="000000" w:themeColor="text1"/>
        </w:rPr>
        <w:t>СОБРАНИЕ ПРЕДСТАВИТЕЛЕЙ СУАДАГСКОГО СЕЛЬСКОГО ПОСЕЛЕНИЯ</w:t>
      </w:r>
    </w:p>
    <w:p w:rsidR="00B53A97" w:rsidRPr="00B53A97" w:rsidRDefault="00B53A97">
      <w:pPr>
        <w:pStyle w:val="ConsPlusTitle"/>
        <w:jc w:val="center"/>
        <w:rPr>
          <w:color w:val="000000" w:themeColor="text1"/>
        </w:rPr>
      </w:pPr>
      <w:r w:rsidRPr="00B53A97">
        <w:rPr>
          <w:color w:val="000000" w:themeColor="text1"/>
        </w:rPr>
        <w:t>АЛАГИРСКОГО РАЙОНА</w:t>
      </w:r>
    </w:p>
    <w:p w:rsidR="00B53A97" w:rsidRPr="00B53A97" w:rsidRDefault="00B53A97">
      <w:pPr>
        <w:pStyle w:val="ConsPlusTitle"/>
        <w:jc w:val="center"/>
        <w:rPr>
          <w:color w:val="000000" w:themeColor="text1"/>
        </w:rPr>
      </w:pPr>
    </w:p>
    <w:p w:rsidR="00B53A97" w:rsidRPr="00B53A97" w:rsidRDefault="00B53A97">
      <w:pPr>
        <w:pStyle w:val="ConsPlusTitle"/>
        <w:jc w:val="center"/>
        <w:rPr>
          <w:color w:val="000000" w:themeColor="text1"/>
        </w:rPr>
      </w:pPr>
      <w:r w:rsidRPr="00B53A97">
        <w:rPr>
          <w:color w:val="000000" w:themeColor="text1"/>
        </w:rPr>
        <w:t>РЕШЕНИЕ</w:t>
      </w:r>
    </w:p>
    <w:p w:rsidR="00B53A97" w:rsidRPr="00B53A97" w:rsidRDefault="00B53A97">
      <w:pPr>
        <w:pStyle w:val="ConsPlusTitle"/>
        <w:jc w:val="center"/>
        <w:rPr>
          <w:color w:val="000000" w:themeColor="text1"/>
        </w:rPr>
      </w:pPr>
      <w:r w:rsidRPr="00B53A97">
        <w:rPr>
          <w:color w:val="000000" w:themeColor="text1"/>
        </w:rPr>
        <w:t>от 14 ноября 2018 г. N 9</w:t>
      </w:r>
    </w:p>
    <w:p w:rsidR="00B53A97" w:rsidRPr="00B53A97" w:rsidRDefault="00B53A97">
      <w:pPr>
        <w:pStyle w:val="ConsPlusTitle"/>
        <w:jc w:val="center"/>
        <w:rPr>
          <w:color w:val="000000" w:themeColor="text1"/>
        </w:rPr>
      </w:pPr>
    </w:p>
    <w:p w:rsidR="00B53A97" w:rsidRPr="00B53A97" w:rsidRDefault="00B53A97">
      <w:pPr>
        <w:pStyle w:val="ConsPlusTitle"/>
        <w:jc w:val="center"/>
        <w:rPr>
          <w:color w:val="000000" w:themeColor="text1"/>
        </w:rPr>
      </w:pPr>
      <w:r w:rsidRPr="00B53A97">
        <w:rPr>
          <w:color w:val="000000" w:themeColor="text1"/>
        </w:rPr>
        <w:t>ОБ УСТАНОВЛЕНИИ ЗЕМЕЛЬНОГО НАЛОГА</w:t>
      </w:r>
    </w:p>
    <w:p w:rsidR="00B53A97" w:rsidRPr="00B53A97" w:rsidRDefault="00B53A97">
      <w:pPr>
        <w:pStyle w:val="ConsPlusNormal"/>
        <w:ind w:firstLine="540"/>
        <w:jc w:val="both"/>
        <w:rPr>
          <w:color w:val="000000" w:themeColor="text1"/>
        </w:rPr>
      </w:pPr>
    </w:p>
    <w:p w:rsidR="00B53A97" w:rsidRPr="00B53A97" w:rsidRDefault="00B53A97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53A97">
        <w:rPr>
          <w:color w:val="000000" w:themeColor="text1"/>
        </w:rPr>
        <w:t xml:space="preserve">В соответствии с </w:t>
      </w:r>
      <w:hyperlink r:id="rId5" w:history="1">
        <w:r w:rsidRPr="00B53A97">
          <w:rPr>
            <w:color w:val="000000" w:themeColor="text1"/>
          </w:rPr>
          <w:t>главой 31</w:t>
        </w:r>
      </w:hyperlink>
      <w:r w:rsidRPr="00B53A97">
        <w:rPr>
          <w:color w:val="000000" w:themeColor="text1"/>
        </w:rPr>
        <w:t xml:space="preserve"> Налогового кодекса Российской Федерации, </w:t>
      </w:r>
      <w:hyperlink r:id="rId6" w:history="1">
        <w:r w:rsidRPr="00B53A97">
          <w:rPr>
            <w:color w:val="000000" w:themeColor="text1"/>
          </w:rPr>
          <w:t>статьей 14</w:t>
        </w:r>
      </w:hyperlink>
      <w:r w:rsidRPr="00B53A97">
        <w:rPr>
          <w:color w:val="000000" w:themeColor="text1"/>
        </w:rPr>
        <w:t xml:space="preserve"> Федерального закона от 06.10.2003 N 131-ФЗ "Об общих принципах организации местного самоуправления в Российской Федерации" и руководствуясь "</w:t>
      </w:r>
      <w:hyperlink r:id="rId7" w:history="1">
        <w:r w:rsidRPr="00B53A97">
          <w:rPr>
            <w:color w:val="000000" w:themeColor="text1"/>
          </w:rPr>
          <w:t>Классификатором</w:t>
        </w:r>
      </w:hyperlink>
      <w:r w:rsidRPr="00B53A97">
        <w:rPr>
          <w:color w:val="000000" w:themeColor="text1"/>
        </w:rPr>
        <w:t xml:space="preserve"> разрешенного использования земельных участков", утвержденным Приказом Министерства экономического развития Российской Федерации от 01.09.2014 N 540 "Об утверждении классификатора видов разрешенного использования земельных участков":</w:t>
      </w:r>
      <w:proofErr w:type="gramEnd"/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 xml:space="preserve">1. На территории муниципального образования </w:t>
      </w:r>
      <w:proofErr w:type="spellStart"/>
      <w:r w:rsidRPr="00B53A97">
        <w:rPr>
          <w:color w:val="000000" w:themeColor="text1"/>
        </w:rPr>
        <w:t>Суадагское</w:t>
      </w:r>
      <w:proofErr w:type="spellEnd"/>
      <w:r w:rsidRPr="00B53A97">
        <w:rPr>
          <w:color w:val="000000" w:themeColor="text1"/>
        </w:rPr>
        <w:t xml:space="preserve"> сельское поселение </w:t>
      </w:r>
      <w:proofErr w:type="spellStart"/>
      <w:r w:rsidRPr="00B53A97">
        <w:rPr>
          <w:color w:val="000000" w:themeColor="text1"/>
        </w:rPr>
        <w:t>Алагирского</w:t>
      </w:r>
      <w:proofErr w:type="spellEnd"/>
      <w:r w:rsidRPr="00B53A97">
        <w:rPr>
          <w:color w:val="000000" w:themeColor="text1"/>
        </w:rPr>
        <w:t xml:space="preserve"> района Республики Северная Осетия-Алания (далее - </w:t>
      </w:r>
      <w:proofErr w:type="spellStart"/>
      <w:r w:rsidRPr="00B53A97">
        <w:rPr>
          <w:color w:val="000000" w:themeColor="text1"/>
        </w:rPr>
        <w:t>Суадагское</w:t>
      </w:r>
      <w:proofErr w:type="spellEnd"/>
      <w:r w:rsidRPr="00B53A97">
        <w:rPr>
          <w:color w:val="000000" w:themeColor="text1"/>
        </w:rPr>
        <w:t xml:space="preserve"> сельское поселение) установить земельный налог с определением: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- налоговых ставок земельного налога (далее - налог);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- порядка и срока уплаты налога;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- установления налоговых льгот;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- порядка предоставления налогоплательщиками документов, подтверждающих право на уменьшение налоговой базы.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 xml:space="preserve">1.1. Налог вводится в действие на территории </w:t>
      </w:r>
      <w:proofErr w:type="spellStart"/>
      <w:r w:rsidRPr="00B53A97">
        <w:rPr>
          <w:color w:val="000000" w:themeColor="text1"/>
        </w:rPr>
        <w:t>Суадагского</w:t>
      </w:r>
      <w:proofErr w:type="spellEnd"/>
      <w:r w:rsidRPr="00B53A97">
        <w:rPr>
          <w:color w:val="000000" w:themeColor="text1"/>
        </w:rPr>
        <w:t xml:space="preserve"> сельского поселения с 1 января 2019 года.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 xml:space="preserve">1.2. Налогоплательщиками налога признаются организации и физические лица, обладающие на праве собственности, праве постоянного (бессрочного) пользования или праве пожизненно наследуемого владения земельными участками, признаваемыми объектом налогообложения в соответствии со </w:t>
      </w:r>
      <w:hyperlink r:id="rId8" w:history="1">
        <w:r w:rsidRPr="00B53A97">
          <w:rPr>
            <w:color w:val="000000" w:themeColor="text1"/>
          </w:rPr>
          <w:t>статьей 389</w:t>
        </w:r>
      </w:hyperlink>
      <w:r w:rsidRPr="00B53A97">
        <w:rPr>
          <w:color w:val="000000" w:themeColor="text1"/>
        </w:rPr>
        <w:t xml:space="preserve"> Налогового кодекса Российской Федерации и расположенными на территории </w:t>
      </w:r>
      <w:proofErr w:type="spellStart"/>
      <w:r w:rsidRPr="00B53A97">
        <w:rPr>
          <w:color w:val="000000" w:themeColor="text1"/>
        </w:rPr>
        <w:t>Суадагского</w:t>
      </w:r>
      <w:proofErr w:type="spellEnd"/>
      <w:r w:rsidRPr="00B53A97">
        <w:rPr>
          <w:color w:val="000000" w:themeColor="text1"/>
        </w:rPr>
        <w:t xml:space="preserve"> сельского поселения.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на праве безвозмездного срочного пользования, или переданных им по договору аренды.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1.3. Объектом налогообложения признаются земельные участки, расположенные в пределах муниципального образования, на территории которого введен налог.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 xml:space="preserve">1.4. Не признаются объектами налогообложения земельные участки, указанные в </w:t>
      </w:r>
      <w:hyperlink r:id="rId9" w:history="1">
        <w:r w:rsidRPr="00B53A97">
          <w:rPr>
            <w:color w:val="000000" w:themeColor="text1"/>
          </w:rPr>
          <w:t>пункте 2 статьи 389</w:t>
        </w:r>
      </w:hyperlink>
      <w:r w:rsidRPr="00B53A97">
        <w:rPr>
          <w:color w:val="000000" w:themeColor="text1"/>
        </w:rPr>
        <w:t xml:space="preserve"> Налогового кодекса Российской Федерации.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1.5.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1.5.1.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lastRenderedPageBreak/>
        <w:t xml:space="preserve">1.5.2.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Налоговым </w:t>
      </w:r>
      <w:hyperlink r:id="rId10" w:history="1">
        <w:r w:rsidRPr="00B53A97">
          <w:rPr>
            <w:color w:val="000000" w:themeColor="text1"/>
          </w:rPr>
          <w:t>кодексом</w:t>
        </w:r>
      </w:hyperlink>
      <w:r w:rsidRPr="00B53A97">
        <w:rPr>
          <w:color w:val="000000" w:themeColor="text1"/>
        </w:rPr>
        <w:t xml:space="preserve"> Российской Федерации.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 xml:space="preserve">1.5.3. Изменение кадастровой стоимости земельного участка вследствие исправления ошибок, допущенных при определении его кадастровой стоимости, </w:t>
      </w:r>
      <w:proofErr w:type="gramStart"/>
      <w:r w:rsidRPr="00B53A97">
        <w:rPr>
          <w:color w:val="000000" w:themeColor="text1"/>
        </w:rPr>
        <w:t>учитывается при определении налоговой базы начиная</w:t>
      </w:r>
      <w:proofErr w:type="gramEnd"/>
      <w:r w:rsidRPr="00B53A97">
        <w:rPr>
          <w:color w:val="000000" w:themeColor="text1"/>
        </w:rPr>
        <w:t xml:space="preserve"> с налогового периода, в котором была применена ошибочно определенная кадастровая стоимость.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1.5.4. 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2. Установить налоговые ставки по видам разрешенного использования земельных участков в соответствии с "</w:t>
      </w:r>
      <w:hyperlink r:id="rId11" w:history="1">
        <w:r w:rsidRPr="00B53A97">
          <w:rPr>
            <w:color w:val="000000" w:themeColor="text1"/>
          </w:rPr>
          <w:t>Классификатором</w:t>
        </w:r>
      </w:hyperlink>
      <w:r w:rsidRPr="00B53A97">
        <w:rPr>
          <w:color w:val="000000" w:themeColor="text1"/>
        </w:rPr>
        <w:t xml:space="preserve"> разрешенного использования земельных участков", утвержденным Приказом Министерства экономического развития Российской Федерации от 01.09.2014 N 540 "Об утверждении классификатора видов разрешенного использования земельных участков" (далее - Классификатор), в следующих размерах:</w:t>
      </w:r>
    </w:p>
    <w:p w:rsidR="00B53A97" w:rsidRPr="00B53A97" w:rsidRDefault="00B53A97">
      <w:pPr>
        <w:pStyle w:val="ConsPlusNormal"/>
        <w:ind w:firstLine="540"/>
        <w:jc w:val="both"/>
        <w:rPr>
          <w:color w:val="000000" w:themeColor="text1"/>
        </w:rPr>
      </w:pPr>
    </w:p>
    <w:p w:rsidR="00B53A97" w:rsidRPr="00B53A97" w:rsidRDefault="00B53A97">
      <w:pPr>
        <w:pStyle w:val="ConsPlusNormal"/>
        <w:jc w:val="right"/>
        <w:rPr>
          <w:color w:val="000000" w:themeColor="text1"/>
        </w:rPr>
      </w:pPr>
      <w:r w:rsidRPr="00B53A97">
        <w:rPr>
          <w:color w:val="000000" w:themeColor="text1"/>
        </w:rPr>
        <w:t>Таблица N 1</w:t>
      </w:r>
    </w:p>
    <w:p w:rsidR="00B53A97" w:rsidRPr="00B53A97" w:rsidRDefault="00B53A97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760"/>
        <w:gridCol w:w="1080"/>
        <w:gridCol w:w="1619"/>
      </w:tblGrid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N</w:t>
            </w:r>
          </w:p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B53A97">
              <w:rPr>
                <w:color w:val="000000" w:themeColor="text1"/>
              </w:rPr>
              <w:t>п</w:t>
            </w:r>
            <w:proofErr w:type="gramEnd"/>
            <w:r w:rsidRPr="00B53A97">
              <w:rPr>
                <w:color w:val="000000" w:themeColor="text1"/>
              </w:rPr>
              <w:t>/п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Наименование вида разрешенного вида земельного участка в соответствии с Классификатором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 xml:space="preserve">Код по </w:t>
            </w:r>
            <w:hyperlink r:id="rId12" w:history="1">
              <w:r w:rsidRPr="00B53A97">
                <w:rPr>
                  <w:color w:val="000000" w:themeColor="text1"/>
                </w:rPr>
                <w:t>Классификатору</w:t>
              </w:r>
            </w:hyperlink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Ставка для исчисления земельного налога (</w:t>
            </w:r>
            <w:proofErr w:type="gramStart"/>
            <w:r w:rsidRPr="00B53A97">
              <w:rPr>
                <w:color w:val="000000" w:themeColor="text1"/>
              </w:rPr>
              <w:t>в</w:t>
            </w:r>
            <w:proofErr w:type="gramEnd"/>
            <w:r w:rsidRPr="00B53A97">
              <w:rPr>
                <w:color w:val="000000" w:themeColor="text1"/>
              </w:rPr>
              <w:t xml:space="preserve"> % </w:t>
            </w:r>
            <w:proofErr w:type="gramStart"/>
            <w:r w:rsidRPr="00B53A97">
              <w:rPr>
                <w:color w:val="000000" w:themeColor="text1"/>
              </w:rPr>
              <w:t>от</w:t>
            </w:r>
            <w:proofErr w:type="gramEnd"/>
            <w:r w:rsidRPr="00B53A97">
              <w:rPr>
                <w:color w:val="000000" w:themeColor="text1"/>
              </w:rPr>
              <w:t xml:space="preserve"> кадастровой стоимости земли)</w:t>
            </w: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1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"Малоэтажная многоквартирная жилая застройка"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2.1.1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0,2</w:t>
            </w: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4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"Для индивидуального жилищного строительства" и "Для ведения личного подсобного хозяйства"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2.1 и 2.2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0,3</w:t>
            </w: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5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"Ведение огородничества"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13.1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0,3</w:t>
            </w: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6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"Ведение садоводства"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13.2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0,3</w:t>
            </w: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7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"Ведение дачного хозяйства"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13.3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0,3</w:t>
            </w: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8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"Объекты гаражного назначения"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2.7.1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"Магазины"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4.4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10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"Общественное питание"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4.6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11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"Бытовое обслуживание"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3.3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12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"Деловое управление"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4.1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13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"Амбулаторно-поликлиническое обслуживание"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3.4.1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14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"Культурное развитие"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3.6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15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"Дошкольное, начальное и среднее общее образование"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3.5.1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"Социальное обслуживание"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3.2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16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"Садоводство"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1.5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0,3</w:t>
            </w: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17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"Животноводство"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1.7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0,3</w:t>
            </w: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18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"Птицеводство"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1.10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0,3</w:t>
            </w: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19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"Питомники"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1.17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0,3</w:t>
            </w: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20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"Хранение и переработка сельскохозяйственной продукции"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1.15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0,3</w:t>
            </w: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"Амбулаторное ветеринарное обслуживание"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3.10.1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"Коммунальное обслуживание"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3.1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0,3</w:t>
            </w: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22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"Пищевая промышленность"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6.4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23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"Туристическое обслуживание"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5.2.1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24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"Связь"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6.8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25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"Объекты придорожного сервиса"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4.9.1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26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"Нефтехимическая промышленность"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6.5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27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"Энергетика"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6.7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28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"Трубопроводный транспорт"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7.5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28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"Склады"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6.9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53A97" w:rsidRPr="00B53A97">
        <w:tc>
          <w:tcPr>
            <w:tcW w:w="602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29</w:t>
            </w:r>
          </w:p>
        </w:tc>
        <w:tc>
          <w:tcPr>
            <w:tcW w:w="5760" w:type="dxa"/>
          </w:tcPr>
          <w:p w:rsidR="00B53A97" w:rsidRPr="00B53A97" w:rsidRDefault="00B53A97">
            <w:pPr>
              <w:pStyle w:val="ConsPlusNormal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"Земельные участки (территории) общего пользования"</w:t>
            </w:r>
          </w:p>
        </w:tc>
        <w:tc>
          <w:tcPr>
            <w:tcW w:w="1080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12.0</w:t>
            </w:r>
          </w:p>
        </w:tc>
        <w:tc>
          <w:tcPr>
            <w:tcW w:w="1619" w:type="dxa"/>
          </w:tcPr>
          <w:p w:rsidR="00B53A97" w:rsidRPr="00B53A97" w:rsidRDefault="00B53A97">
            <w:pPr>
              <w:pStyle w:val="ConsPlusNormal"/>
              <w:jc w:val="center"/>
              <w:rPr>
                <w:color w:val="000000" w:themeColor="text1"/>
              </w:rPr>
            </w:pPr>
            <w:r w:rsidRPr="00B53A97">
              <w:rPr>
                <w:color w:val="000000" w:themeColor="text1"/>
              </w:rPr>
              <w:t>0,7</w:t>
            </w:r>
          </w:p>
        </w:tc>
      </w:tr>
    </w:tbl>
    <w:p w:rsidR="00B53A97" w:rsidRPr="00B53A97" w:rsidRDefault="00B53A97">
      <w:pPr>
        <w:pStyle w:val="ConsPlusNormal"/>
        <w:ind w:firstLine="540"/>
        <w:jc w:val="both"/>
        <w:rPr>
          <w:color w:val="000000" w:themeColor="text1"/>
        </w:rPr>
      </w:pPr>
    </w:p>
    <w:p w:rsidR="00B53A97" w:rsidRPr="00B53A97" w:rsidRDefault="00B53A97">
      <w:pPr>
        <w:pStyle w:val="ConsPlusNormal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3. Порядок и срок уплаты налога.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Налог подлежит уплате налогоплательщиками: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B53A97">
        <w:rPr>
          <w:color w:val="000000" w:themeColor="text1"/>
        </w:rPr>
        <w:t>- физическими лицами в срок не позднее 1 декабря года, следующего за истекшим налоговым периодом;</w:t>
      </w:r>
      <w:proofErr w:type="gramEnd"/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- налогоплательщиками - юридическими лицами до 1 февраля года, следующего за налоговым периодом; авансовые платежи уплачиваются в течение 5 дней после окончания срока предоставления налоговых расчетов по ним, то есть до 15 апреля, 15 июля, 15 октября текущего налогового периода.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4. Налоговые льготы.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 xml:space="preserve">4.1. На территории </w:t>
      </w:r>
      <w:proofErr w:type="spellStart"/>
      <w:r w:rsidRPr="00B53A97">
        <w:rPr>
          <w:color w:val="000000" w:themeColor="text1"/>
        </w:rPr>
        <w:t>Суадагского</w:t>
      </w:r>
      <w:proofErr w:type="spellEnd"/>
      <w:r w:rsidRPr="00B53A97">
        <w:rPr>
          <w:color w:val="000000" w:themeColor="text1"/>
        </w:rPr>
        <w:t xml:space="preserve"> сельского поселения налогоплательщикам предоставляются установленные </w:t>
      </w:r>
      <w:hyperlink r:id="rId13" w:history="1">
        <w:r w:rsidRPr="00B53A97">
          <w:rPr>
            <w:color w:val="000000" w:themeColor="text1"/>
          </w:rPr>
          <w:t>статьей 395</w:t>
        </w:r>
      </w:hyperlink>
      <w:r w:rsidRPr="00B53A97">
        <w:rPr>
          <w:color w:val="000000" w:themeColor="text1"/>
        </w:rPr>
        <w:t xml:space="preserve"> Налогового кодекса Российской Федерации налоговые льготы в полном объеме.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lastRenderedPageBreak/>
        <w:t>4.2.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1) Героев Советского Союза, Героев Российской Федерации, полных кавалеров ордена Славы;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2) инвалидов I и II групп инвалидности;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3) инвалидов с детства, детей-инвалидов;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4) ветеранов и инвалидов Великой Отечественной войны, а также ветеранов и инвалидов боевых действий;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B53A97">
        <w:rPr>
          <w:color w:val="000000" w:themeColor="text1"/>
        </w:rPr>
        <w:t xml:space="preserve">5) физических лиц, имеющих право на получение социальной поддержки в соответствии с </w:t>
      </w:r>
      <w:hyperlink r:id="rId14" w:history="1">
        <w:r w:rsidRPr="00B53A97">
          <w:rPr>
            <w:color w:val="000000" w:themeColor="text1"/>
          </w:rPr>
          <w:t>Законом</w:t>
        </w:r>
      </w:hyperlink>
      <w:r w:rsidRPr="00B53A97">
        <w:rPr>
          <w:color w:val="000000" w:themeColor="text1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15" w:history="1">
        <w:r w:rsidRPr="00B53A97">
          <w:rPr>
            <w:color w:val="000000" w:themeColor="text1"/>
          </w:rPr>
          <w:t>законом</w:t>
        </w:r>
      </w:hyperlink>
      <w:r w:rsidRPr="00B53A97">
        <w:rPr>
          <w:color w:val="000000" w:themeColor="text1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B53A97">
        <w:rPr>
          <w:color w:val="000000" w:themeColor="text1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53A97">
        <w:rPr>
          <w:color w:val="000000" w:themeColor="text1"/>
        </w:rPr>
        <w:t>Теча</w:t>
      </w:r>
      <w:proofErr w:type="spellEnd"/>
      <w:r w:rsidRPr="00B53A97">
        <w:rPr>
          <w:color w:val="000000" w:themeColor="text1"/>
        </w:rPr>
        <w:t xml:space="preserve">" и в соответствии с Федеральным </w:t>
      </w:r>
      <w:hyperlink r:id="rId16" w:history="1">
        <w:r w:rsidRPr="00B53A97">
          <w:rPr>
            <w:color w:val="000000" w:themeColor="text1"/>
          </w:rPr>
          <w:t>законом</w:t>
        </w:r>
      </w:hyperlink>
      <w:r w:rsidRPr="00B53A97">
        <w:rPr>
          <w:color w:val="000000" w:themeColor="text1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4.2.1. Установить дополнительные налоговые льготы в виде уменьшения налоговой базы на необлагаемую налогом сумму в размере 700 тыс. рублей на одного налогоплательщика в отношении определенных категорий налогоплательщиков, к которым относятся: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- инвалиды, имеющие I группу инвалидности, а также лица, имеющие II группу инвалидности.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4.3. 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5. Порядок предоставления налогоплательщиками документов, подтверждающих право на уменьшение налоговой базы.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5.1.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lastRenderedPageBreak/>
        <w:t>5.2.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5.3. В случае</w:t>
      </w:r>
      <w:proofErr w:type="gramStart"/>
      <w:r w:rsidRPr="00B53A97">
        <w:rPr>
          <w:color w:val="000000" w:themeColor="text1"/>
        </w:rPr>
        <w:t>,</w:t>
      </w:r>
      <w:proofErr w:type="gramEnd"/>
      <w:r w:rsidRPr="00B53A97">
        <w:rPr>
          <w:color w:val="000000" w:themeColor="text1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>5.4. Установленные настоящим Решением налоговые льготы не распространяются на земельные участки (части, доли земельных участков), сдаваемые льготными категориями налогоплательщиков в аренду.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 xml:space="preserve">6. Признать утратившим силу </w:t>
      </w:r>
      <w:hyperlink r:id="rId17" w:history="1">
        <w:r w:rsidRPr="00B53A97">
          <w:rPr>
            <w:color w:val="000000" w:themeColor="text1"/>
          </w:rPr>
          <w:t>Решение</w:t>
        </w:r>
      </w:hyperlink>
      <w:r w:rsidRPr="00B53A97">
        <w:rPr>
          <w:color w:val="000000" w:themeColor="text1"/>
        </w:rPr>
        <w:t xml:space="preserve"> Собрания представителей </w:t>
      </w:r>
      <w:proofErr w:type="spellStart"/>
      <w:r w:rsidRPr="00B53A97">
        <w:rPr>
          <w:color w:val="000000" w:themeColor="text1"/>
        </w:rPr>
        <w:t>Суадагского</w:t>
      </w:r>
      <w:proofErr w:type="spellEnd"/>
      <w:r w:rsidRPr="00B53A97">
        <w:rPr>
          <w:color w:val="000000" w:themeColor="text1"/>
        </w:rPr>
        <w:t xml:space="preserve"> сельского поселения </w:t>
      </w:r>
      <w:proofErr w:type="spellStart"/>
      <w:r w:rsidRPr="00B53A97">
        <w:rPr>
          <w:color w:val="000000" w:themeColor="text1"/>
        </w:rPr>
        <w:t>Алагирского</w:t>
      </w:r>
      <w:proofErr w:type="spellEnd"/>
      <w:r w:rsidRPr="00B53A97">
        <w:rPr>
          <w:color w:val="000000" w:themeColor="text1"/>
        </w:rPr>
        <w:t xml:space="preserve"> района РСО-Алания от 16.11.2017 N 3 "О земельном налоге" со дня вступления в силу настоящего Решения.</w:t>
      </w:r>
    </w:p>
    <w:p w:rsidR="00B53A97" w:rsidRPr="00B53A97" w:rsidRDefault="00B53A9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3A97">
        <w:rPr>
          <w:color w:val="000000" w:themeColor="text1"/>
        </w:rPr>
        <w:t xml:space="preserve">7.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в соответствии с Налоговым </w:t>
      </w:r>
      <w:hyperlink r:id="rId18" w:history="1">
        <w:r w:rsidRPr="00B53A97">
          <w:rPr>
            <w:color w:val="000000" w:themeColor="text1"/>
          </w:rPr>
          <w:t>кодексом</w:t>
        </w:r>
      </w:hyperlink>
      <w:r w:rsidRPr="00B53A97">
        <w:rPr>
          <w:color w:val="000000" w:themeColor="text1"/>
        </w:rPr>
        <w:t xml:space="preserve"> Российской Федерации.</w:t>
      </w:r>
    </w:p>
    <w:p w:rsidR="00B53A97" w:rsidRPr="00B53A97" w:rsidRDefault="00B53A97">
      <w:pPr>
        <w:pStyle w:val="ConsPlusNormal"/>
        <w:ind w:firstLine="540"/>
        <w:jc w:val="both"/>
        <w:rPr>
          <w:color w:val="000000" w:themeColor="text1"/>
        </w:rPr>
      </w:pPr>
    </w:p>
    <w:p w:rsidR="00B53A97" w:rsidRPr="00B53A97" w:rsidRDefault="00B53A97">
      <w:pPr>
        <w:pStyle w:val="ConsPlusNormal"/>
        <w:jc w:val="right"/>
        <w:rPr>
          <w:color w:val="000000" w:themeColor="text1"/>
        </w:rPr>
      </w:pPr>
      <w:r w:rsidRPr="00B53A97">
        <w:rPr>
          <w:color w:val="000000" w:themeColor="text1"/>
        </w:rPr>
        <w:t>Глава</w:t>
      </w:r>
    </w:p>
    <w:p w:rsidR="00B53A97" w:rsidRPr="00B53A97" w:rsidRDefault="00B53A97">
      <w:pPr>
        <w:pStyle w:val="ConsPlusNormal"/>
        <w:jc w:val="right"/>
        <w:rPr>
          <w:color w:val="000000" w:themeColor="text1"/>
        </w:rPr>
      </w:pPr>
      <w:r w:rsidRPr="00B53A97">
        <w:rPr>
          <w:color w:val="000000" w:themeColor="text1"/>
        </w:rPr>
        <w:t>муниципального образования</w:t>
      </w:r>
    </w:p>
    <w:p w:rsidR="00B53A97" w:rsidRPr="00B53A97" w:rsidRDefault="00B53A97">
      <w:pPr>
        <w:pStyle w:val="ConsPlusNormal"/>
        <w:jc w:val="right"/>
        <w:rPr>
          <w:color w:val="000000" w:themeColor="text1"/>
        </w:rPr>
      </w:pPr>
      <w:proofErr w:type="spellStart"/>
      <w:r w:rsidRPr="00B53A97">
        <w:rPr>
          <w:color w:val="000000" w:themeColor="text1"/>
        </w:rPr>
        <w:t>Суадагское</w:t>
      </w:r>
      <w:proofErr w:type="spellEnd"/>
      <w:r w:rsidRPr="00B53A97">
        <w:rPr>
          <w:color w:val="000000" w:themeColor="text1"/>
        </w:rPr>
        <w:t xml:space="preserve"> сельское поселение</w:t>
      </w:r>
    </w:p>
    <w:p w:rsidR="00B53A97" w:rsidRPr="00B53A97" w:rsidRDefault="00B53A97">
      <w:pPr>
        <w:pStyle w:val="ConsPlusNormal"/>
        <w:jc w:val="right"/>
        <w:rPr>
          <w:color w:val="000000" w:themeColor="text1"/>
        </w:rPr>
      </w:pPr>
      <w:r w:rsidRPr="00B53A97">
        <w:rPr>
          <w:color w:val="000000" w:themeColor="text1"/>
        </w:rPr>
        <w:t>А.А.СЕДАНОВ</w:t>
      </w:r>
    </w:p>
    <w:p w:rsidR="00B53A97" w:rsidRPr="00B53A97" w:rsidRDefault="00B53A97">
      <w:pPr>
        <w:pStyle w:val="ConsPlusNormal"/>
        <w:ind w:firstLine="540"/>
        <w:jc w:val="both"/>
        <w:rPr>
          <w:color w:val="000000" w:themeColor="text1"/>
        </w:rPr>
      </w:pPr>
    </w:p>
    <w:p w:rsidR="00B53A97" w:rsidRPr="00B53A97" w:rsidRDefault="00B53A97">
      <w:pPr>
        <w:pStyle w:val="ConsPlusNormal"/>
        <w:ind w:firstLine="540"/>
        <w:jc w:val="both"/>
        <w:rPr>
          <w:color w:val="000000" w:themeColor="text1"/>
        </w:rPr>
      </w:pPr>
    </w:p>
    <w:p w:rsidR="00B53A97" w:rsidRPr="00B53A97" w:rsidRDefault="00B53A9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B7A3A" w:rsidRPr="00B53A97" w:rsidRDefault="00B53A97">
      <w:pPr>
        <w:rPr>
          <w:color w:val="000000" w:themeColor="text1"/>
        </w:rPr>
      </w:pPr>
    </w:p>
    <w:sectPr w:rsidR="008B7A3A" w:rsidRPr="00B53A97" w:rsidSect="00D6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97"/>
    <w:rsid w:val="00A62BFA"/>
    <w:rsid w:val="00B53A97"/>
    <w:rsid w:val="00C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A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A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FC456E04DB1946731C7040F0A58028FA5C8CFE09479F13B2D56AC416E6C0AF44540A1EB14AF93002F1BEE091E66D7F29C3BE2C7B7N944J" TargetMode="External"/><Relationship Id="rId13" Type="http://schemas.openxmlformats.org/officeDocument/2006/relationships/hyperlink" Target="consultantplus://offline/ref=479FC456E04DB1946731C7040F0A58028FA5C8CFE09479F13B2D56AC416E6C0AF44540A1EB18A293002F1BEE091E66D7F29C3BE2C7B7N944J" TargetMode="External"/><Relationship Id="rId18" Type="http://schemas.openxmlformats.org/officeDocument/2006/relationships/hyperlink" Target="consultantplus://offline/ref=479FC456E04DB1946731C7040F0A58028FA5C8CFE09479F13B2D56AC416E6C0AE64518ADE913B59857605DBB05N14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9FC456E04DB1946731C7040F0A58028FA4C5CAEF9B79F13B2D56AC416E6C0AF44540A1E811AB9955750BEA404A69C8F08125E3D9B49D42N741J" TargetMode="External"/><Relationship Id="rId12" Type="http://schemas.openxmlformats.org/officeDocument/2006/relationships/hyperlink" Target="consultantplus://offline/ref=479FC456E04DB1946731C7040F0A58028FA4C5CAEF9B79F13B2D56AC416E6C0AF44540A1E811AB9955750BEA404A69C8F08125E3D9B49D42N741J" TargetMode="External"/><Relationship Id="rId17" Type="http://schemas.openxmlformats.org/officeDocument/2006/relationships/hyperlink" Target="consultantplus://offline/ref=479FC456E04DB1946731D9091966020C8CAF93C2E69972A062720DF11667665DB30A19F1AC44A69956605FB81A1D64C8NF4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9FC456E04DB1946731C7040F0A58028FA5C9C7E19C79F13B2D56AC416E6C0AE64518ADE913B59857605DBB05N146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9FC456E04DB1946731C7040F0A58028FA5CAC9E19F79F13B2D56AC416E6C0AF44540A4EA14A0CC053A0AB6051D7AC9F18127E0C6NB4FJ" TargetMode="External"/><Relationship Id="rId11" Type="http://schemas.openxmlformats.org/officeDocument/2006/relationships/hyperlink" Target="consultantplus://offline/ref=479FC456E04DB1946731C7040F0A58028FA4C5CAEF9B79F13B2D56AC416E6C0AF44540A1E811AB9955750BEA404A69C8F08125E3D9B49D42N741J" TargetMode="External"/><Relationship Id="rId5" Type="http://schemas.openxmlformats.org/officeDocument/2006/relationships/hyperlink" Target="consultantplus://offline/ref=479FC456E04DB1946731C7040F0A58028FA5C8CFE09479F13B2D56AC416E6C0AF44540A1EB15AE93002F1BEE091E66D7F29C3BE2C7B7N944J" TargetMode="External"/><Relationship Id="rId15" Type="http://schemas.openxmlformats.org/officeDocument/2006/relationships/hyperlink" Target="consultantplus://offline/ref=479FC456E04DB1946731C7040F0A58028EADCFC9EE9F79F13B2D56AC416E6C0AE64518ADE913B59857605DBB05N146J" TargetMode="External"/><Relationship Id="rId10" Type="http://schemas.openxmlformats.org/officeDocument/2006/relationships/hyperlink" Target="consultantplus://offline/ref=479FC456E04DB1946731C7040F0A58028FA5C8CFE09479F13B2D56AC416E6C0AE64518ADE913B59857605DBB05N146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9FC456E04DB1946731C7040F0A58028FA5C8CFE09479F13B2D56AC416E6C0AF44540A1EB14AD93002F1BEE091E66D7F29C3BE2C7B7N944J" TargetMode="External"/><Relationship Id="rId14" Type="http://schemas.openxmlformats.org/officeDocument/2006/relationships/hyperlink" Target="consultantplus://offline/ref=479FC456E04DB1946731C7040F0A58028FA5C9C7E39579F13B2D56AC416E6C0AE64518ADE913B59857605DBB05N14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Жермелев Александр Юрьевич</cp:lastModifiedBy>
  <cp:revision>1</cp:revision>
  <dcterms:created xsi:type="dcterms:W3CDTF">2019-03-12T09:56:00Z</dcterms:created>
  <dcterms:modified xsi:type="dcterms:W3CDTF">2019-03-12T09:57:00Z</dcterms:modified>
</cp:coreProperties>
</file>